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2EB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9"/>
        <w:gridCol w:w="6"/>
      </w:tblGrid>
      <w:tr w:rsidR="00895961" w:rsidRPr="00895961" w:rsidTr="00895961">
        <w:trPr>
          <w:tblCellSpacing w:w="0" w:type="dxa"/>
        </w:trPr>
        <w:tc>
          <w:tcPr>
            <w:tcW w:w="0" w:type="auto"/>
            <w:gridSpan w:val="2"/>
            <w:shd w:val="clear" w:color="auto" w:fill="F2EBE5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</w:tcPr>
          <w:p w:rsidR="00895961" w:rsidRPr="00895961" w:rsidRDefault="00895961" w:rsidP="00895961">
            <w:pPr>
              <w:spacing w:before="30" w:after="30" w:line="240" w:lineRule="auto"/>
              <w:ind w:left="30" w:right="30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03C"/>
                <w:kern w:val="36"/>
                <w:sz w:val="40"/>
                <w:szCs w:val="40"/>
                <w:lang w:eastAsia="ru-RU"/>
              </w:rPr>
            </w:pPr>
            <w:bookmarkStart w:id="0" w:name="_GoBack"/>
            <w:bookmarkEnd w:id="0"/>
          </w:p>
        </w:tc>
      </w:tr>
      <w:tr w:rsidR="00895961" w:rsidRPr="00895961" w:rsidTr="00895961">
        <w:trPr>
          <w:trHeight w:val="31680"/>
          <w:tblCellSpacing w:w="0" w:type="dxa"/>
        </w:trPr>
        <w:tc>
          <w:tcPr>
            <w:tcW w:w="15689" w:type="dxa"/>
            <w:shd w:val="clear" w:color="auto" w:fill="F2EBE5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895961" w:rsidRDefault="00895961" w:rsidP="0089596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20303C"/>
                <w:sz w:val="24"/>
                <w:szCs w:val="24"/>
                <w:lang w:eastAsia="ru-RU"/>
              </w:rPr>
            </w:pPr>
            <w:r w:rsidRPr="008959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03C"/>
                <w:kern w:val="36"/>
                <w:sz w:val="40"/>
                <w:szCs w:val="40"/>
                <w:lang w:eastAsia="ru-RU"/>
              </w:rPr>
              <w:lastRenderedPageBreak/>
              <w:t>ТПМПК</w:t>
            </w:r>
          </w:p>
          <w:p w:rsidR="00895961" w:rsidRDefault="00895961" w:rsidP="0089596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20303C"/>
                <w:sz w:val="24"/>
                <w:szCs w:val="24"/>
                <w:lang w:eastAsia="ru-RU"/>
              </w:rPr>
            </w:pPr>
          </w:p>
          <w:p w:rsidR="00895961" w:rsidRPr="00895961" w:rsidRDefault="00895961" w:rsidP="00895961">
            <w:pPr>
              <w:spacing w:after="150" w:line="240" w:lineRule="auto"/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</w:pPr>
            <w:r w:rsidRPr="00895961">
              <w:rPr>
                <w:rFonts w:ascii="Times New Roman" w:eastAsia="Times New Roman" w:hAnsi="Times New Roman" w:cs="Times New Roman"/>
                <w:b/>
                <w:bCs/>
                <w:color w:val="20303C"/>
                <w:sz w:val="24"/>
                <w:szCs w:val="24"/>
                <w:lang w:eastAsia="ru-RU"/>
              </w:rPr>
              <w:t>О комиссии (ТПМПК)</w:t>
            </w:r>
          </w:p>
          <w:p w:rsidR="00895961" w:rsidRPr="00895961" w:rsidRDefault="00895961" w:rsidP="00895961">
            <w:pPr>
              <w:spacing w:after="150" w:line="240" w:lineRule="auto"/>
              <w:rPr>
                <w:rFonts w:ascii="Arial" w:eastAsia="Times New Roman" w:hAnsi="Arial" w:cs="Arial"/>
                <w:color w:val="20303C"/>
                <w:sz w:val="20"/>
                <w:szCs w:val="20"/>
                <w:lang w:eastAsia="ru-RU"/>
              </w:rPr>
            </w:pPr>
            <w:r w:rsidRPr="00895961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Территориальная психолого-медико-педагогическая комиссия является структурным подразделением МОУ ЦППРК. </w:t>
            </w:r>
            <w:proofErr w:type="gramStart"/>
            <w:r w:rsidRPr="00895961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Основными направлениями деятельности ТПМПК являются: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      </w:r>
            <w:proofErr w:type="gramEnd"/>
            <w:r w:rsidRPr="00895961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      </w:r>
            <w:proofErr w:type="spellStart"/>
            <w:r w:rsidRPr="00895961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895961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 (общественно опасным) поведением; оказание федеральным учреждениям </w:t>
            </w:r>
            <w:proofErr w:type="gramStart"/>
            <w:r w:rsidRPr="00895961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895961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 экспертизы содействия в разработке индивидуальной программы реабилитации ребенка-инвалида; осуществление учета данных о детях с ограниченными возможностями здоровья и (или) </w:t>
            </w:r>
            <w:proofErr w:type="spellStart"/>
            <w:r w:rsidRPr="00895961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895961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 xml:space="preserve"> (общественно опасным) поведением, проживающих на территории Кочубеевского района;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 Зона обслуживания ТПМПК: 1.х</w:t>
            </w:r>
            <w:proofErr w:type="gramStart"/>
            <w:r w:rsidRPr="00895961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.А</w:t>
            </w:r>
            <w:proofErr w:type="gramEnd"/>
            <w:r w:rsidRPr="00895961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ндреевский 2.с.Новая Деревня 3.с.Балахоновское 4.ст.Новоекатериновская 5.х.Балуевский 6.х.Новозеленчукский 7.ст.Барсуковская 8.х.Новокубанский 9.х.Барсуковский 10.х.Новородниковский 11.х.Беловский 12.х.Первоказьминский 13.ст.Беломечетская 14.х.Первохерсонский 15.х.Васильевский 16.х.Петровский 17.с.Веселое 18.х.Привольный 19.с.Воронежское 20.х</w:t>
            </w:r>
            <w:proofErr w:type="gramStart"/>
            <w:r w:rsidRPr="00895961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.П</w:t>
            </w:r>
            <w:proofErr w:type="gramEnd"/>
            <w:r w:rsidRPr="00895961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рогресс 21.х.Воротниковский 22.п.Рабочий 23.с.Вревское 24.х.Раздольный 25.с.Галицино 26.х.Родниковский 27.ст.Георгиевская 28.х.Рощинский 29.с.Дворцовское 30.х.Саратовский 31.х.Дегтяровский 32.п.Свистухинский 33.х.Екатериновский 34.х.Сотникова 35.с.Заветное 36.х.Стародворцовский 37.п.Западный 38.х.Степной 39.с.Ивановское 40.ст</w:t>
            </w:r>
            <w:proofErr w:type="gramStart"/>
            <w:r w:rsidRPr="00895961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.С</w:t>
            </w:r>
            <w:proofErr w:type="gramEnd"/>
            <w:r w:rsidRPr="00895961">
              <w:rPr>
                <w:rFonts w:ascii="Times New Roman" w:eastAsia="Times New Roman" w:hAnsi="Times New Roman" w:cs="Times New Roman"/>
                <w:color w:val="20303C"/>
                <w:sz w:val="24"/>
                <w:szCs w:val="24"/>
                <w:lang w:eastAsia="ru-RU"/>
              </w:rPr>
              <w:t>унженская 41.с.Казьминское 42.п.Тоннельный 43.х.Калиновский 44.х.Ураковский 45.аул.Карамурзинский 46.х.Усть-Невинский 47.с.Кочубеевское 48.х.Харьковский 49.х.Маковский 50.х.Херсонский 51.х.Мищенский 52.с.Цветное 53.с.Надзорное 54.х.Черкасский</w:t>
            </w:r>
          </w:p>
        </w:tc>
        <w:tc>
          <w:tcPr>
            <w:tcW w:w="0" w:type="auto"/>
            <w:shd w:val="clear" w:color="auto" w:fill="F2EBE5"/>
            <w:vAlign w:val="center"/>
            <w:hideMark/>
          </w:tcPr>
          <w:p w:rsidR="00895961" w:rsidRPr="00895961" w:rsidRDefault="00895961" w:rsidP="0089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5961" w:rsidRDefault="00895961" w:rsidP="00895961">
      <w:pPr>
        <w:pStyle w:val="a3"/>
        <w:shd w:val="clear" w:color="auto" w:fill="F2EBE5"/>
        <w:spacing w:before="0" w:beforeAutospacing="0" w:after="150" w:afterAutospacing="0"/>
        <w:rPr>
          <w:rFonts w:ascii="Arial" w:hAnsi="Arial" w:cs="Arial"/>
          <w:color w:val="20303C"/>
          <w:sz w:val="20"/>
          <w:szCs w:val="20"/>
        </w:rPr>
      </w:pPr>
      <w:r>
        <w:rPr>
          <w:rStyle w:val="a4"/>
          <w:color w:val="20303C"/>
        </w:rPr>
        <w:lastRenderedPageBreak/>
        <w:t>ТПМПК родителями</w:t>
      </w:r>
    </w:p>
    <w:p w:rsidR="00895961" w:rsidRDefault="00895961" w:rsidP="00895961">
      <w:pPr>
        <w:pStyle w:val="a3"/>
        <w:shd w:val="clear" w:color="auto" w:fill="F2EBE5"/>
        <w:spacing w:before="0" w:beforeAutospacing="0" w:after="150" w:afterAutospacing="0"/>
        <w:rPr>
          <w:rFonts w:ascii="Arial" w:hAnsi="Arial" w:cs="Arial"/>
          <w:color w:val="20303C"/>
          <w:sz w:val="20"/>
          <w:szCs w:val="20"/>
        </w:rPr>
      </w:pPr>
      <w:r>
        <w:rPr>
          <w:color w:val="20303C"/>
        </w:rPr>
        <w:t xml:space="preserve">Как записать ребенка на ТПМПК Внимание! Прием ведется только по предварительной записи. Запись на обследование осуществляется родителями (законными представителями) в рабочие дни (c понедельника по пятницу) с 08.00 до 16.00: по телефону (8-86550) 2-09-14; непосредственно в МОУ ЦППРК ТПМПК по адресу: с. </w:t>
      </w:r>
      <w:proofErr w:type="spellStart"/>
      <w:r>
        <w:rPr>
          <w:color w:val="20303C"/>
        </w:rPr>
        <w:t>Кочубеевское</w:t>
      </w:r>
      <w:proofErr w:type="gramStart"/>
      <w:r>
        <w:rPr>
          <w:color w:val="20303C"/>
        </w:rPr>
        <w:t>,у</w:t>
      </w:r>
      <w:proofErr w:type="gramEnd"/>
      <w:r>
        <w:rPr>
          <w:color w:val="20303C"/>
        </w:rPr>
        <w:t>л</w:t>
      </w:r>
      <w:proofErr w:type="spellEnd"/>
      <w:r>
        <w:rPr>
          <w:color w:val="20303C"/>
        </w:rPr>
        <w:t xml:space="preserve">. Титова, 1. </w:t>
      </w:r>
      <w:proofErr w:type="gramStart"/>
      <w:r>
        <w:rPr>
          <w:color w:val="20303C"/>
        </w:rPr>
        <w:t>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 заявление о проведении или согласие на проведение обследования ребенка в комиссии;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  <w:proofErr w:type="gramEnd"/>
      <w:r>
        <w:rPr>
          <w:color w:val="20303C"/>
        </w:rPr>
        <w:t xml:space="preserve"> </w:t>
      </w:r>
      <w:proofErr w:type="gramStart"/>
      <w:r>
        <w:rPr>
          <w:color w:val="20303C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 заключение (заключения) комиссии о результатах ранее проведенного обследования ребенка (при наличии);</w:t>
      </w:r>
      <w:proofErr w:type="gramEnd"/>
      <w:r>
        <w:rPr>
          <w:color w:val="20303C"/>
        </w:rPr>
        <w:t xml:space="preserve"> </w:t>
      </w:r>
      <w:proofErr w:type="gramStart"/>
      <w:r>
        <w:rPr>
          <w:color w:val="20303C"/>
        </w:rPr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(регистрации); при необходимости получения дополнительной медицинской информации о ребенке ТПМПК направляет запрос в медицинскую организацию; заключения врачей: психиатра, невролога/невропатолога, характеристику обучающегося, выданную образовательной организацией (для обучающихся образовательных организаций); письменные работы по русскому (родному) языку, математике, результаты самостоятельной продуктивной деятельности ребенка.</w:t>
      </w:r>
      <w:proofErr w:type="gramEnd"/>
      <w:r>
        <w:rPr>
          <w:color w:val="20303C"/>
        </w:rPr>
        <w:t xml:space="preserve"> Запись на проведение обследования ребенка в комиссии осуществляется при подаче документов. Обследование детей проводится в присутствии родителей (законных представителей) каждым специалистом индивидуально или несколькими специалистами одновременно. В </w:t>
      </w:r>
      <w:proofErr w:type="spellStart"/>
      <w:r>
        <w:rPr>
          <w:color w:val="20303C"/>
        </w:rPr>
        <w:t>диагностически</w:t>
      </w:r>
      <w:proofErr w:type="spellEnd"/>
      <w:r>
        <w:rPr>
          <w:color w:val="20303C"/>
        </w:rPr>
        <w:t xml:space="preserve"> сложных случаях ТПМПК может провести дополнительное обследование ребенка в другой день. В тех случаях, когда в процессе обследования ребенка не представляется возможным принять окончательное решение об особенностях его развития, организуется пробное диагностическое обучение. В этих же целях ребенок может быть направлен с согласия родителей (законных представителей) в лечебно-профилактическое учреждение. На основании результатов обследования оформляется заключение ТПМПК. Заключение выдается родителям (законным представителям). Заключение комиссии действительно для представления в органы, организации в течение календарного года </w:t>
      </w:r>
      <w:proofErr w:type="gramStart"/>
      <w:r>
        <w:rPr>
          <w:color w:val="20303C"/>
        </w:rPr>
        <w:t>с даты</w:t>
      </w:r>
      <w:proofErr w:type="gramEnd"/>
      <w:r>
        <w:rPr>
          <w:color w:val="20303C"/>
        </w:rPr>
        <w:t xml:space="preserve"> его подписания.</w:t>
      </w:r>
    </w:p>
    <w:p w:rsidR="00166FB6" w:rsidRDefault="00166FB6"/>
    <w:sectPr w:rsidR="00166FB6" w:rsidSect="008959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61"/>
    <w:rsid w:val="00166FB6"/>
    <w:rsid w:val="008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9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2020-09-15T14:30:00Z</dcterms:created>
  <dcterms:modified xsi:type="dcterms:W3CDTF">2020-09-15T14:33:00Z</dcterms:modified>
</cp:coreProperties>
</file>